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-260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</w:p>
    <w:p>
      <w:pPr>
        <w:widowControl w:val="0"/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0061-01-2023-010980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83</w:t>
      </w:r>
    </w:p>
    <w:p>
      <w:pPr>
        <w:widowControl w:val="0"/>
        <w:spacing w:before="0" w:after="0"/>
        <w:jc w:val="right"/>
        <w:rPr>
          <w:sz w:val="28"/>
          <w:szCs w:val="28"/>
        </w:rPr>
      </w:pPr>
    </w:p>
    <w:p>
      <w:pPr>
        <w:widowControl w:val="0"/>
        <w:spacing w:before="0" w:after="0"/>
        <w:ind w:left="354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ономного округа – Югры Романова И.А., 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Солодовниковой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иску </w:t>
      </w:r>
      <w:r>
        <w:rPr>
          <w:rFonts w:ascii="Times New Roman" w:eastAsia="Times New Roman" w:hAnsi="Times New Roman" w:cs="Times New Roman"/>
          <w:sz w:val="28"/>
          <w:szCs w:val="28"/>
        </w:rPr>
        <w:t>Казенного учреждения Ханты-Мансийского автономного округа-Югры «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центр занятости 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Трифоновой Анастасии Дмитриевне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незаконно полученных денежных средств,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167,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194-199 ГПК РФ, мировой судья</w:t>
      </w:r>
    </w:p>
    <w:p>
      <w:pPr>
        <w:widowControl w:val="0"/>
        <w:spacing w:before="0" w:after="0"/>
        <w:ind w:firstLine="70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ind w:firstLine="70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и</w:t>
      </w:r>
      <w:r>
        <w:rPr>
          <w:rFonts w:ascii="Times New Roman" w:eastAsia="Times New Roman" w:hAnsi="Times New Roman" w:cs="Times New Roman"/>
          <w:sz w:val="28"/>
          <w:szCs w:val="28"/>
        </w:rPr>
        <w:t>сковы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Казенного учреждения Ханты-Мансийского автономного округа-Югры «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центр занятости населения» к </w:t>
      </w:r>
      <w:r>
        <w:rPr>
          <w:rFonts w:ascii="Times New Roman" w:eastAsia="Times New Roman" w:hAnsi="Times New Roman" w:cs="Times New Roman"/>
          <w:sz w:val="28"/>
          <w:szCs w:val="28"/>
        </w:rPr>
        <w:t>Трифоновой Анастасии Дмитриевне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незаконно полученных денежных средств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отказать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ешение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Ханты-Мансийского автономного округа-Югры путем подачи апелляционной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месяца со дня вынесения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И.А.Романова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